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82" w:rsidRDefault="001F4182" w:rsidP="001F4182">
      <w:pPr>
        <w:spacing w:before="100" w:beforeAutospacing="1" w:after="100" w:afterAutospacing="1"/>
      </w:pPr>
      <w:bookmarkStart w:id="0" w:name="_GoBack"/>
      <w:bookmarkEnd w:id="0"/>
      <w:r>
        <w:t> </w:t>
      </w:r>
    </w:p>
    <w:p w:rsidR="001F4182" w:rsidRDefault="001F4182" w:rsidP="001F4182">
      <w:pPr>
        <w:spacing w:before="100" w:beforeAutospacing="1" w:after="100" w:afterAutospacing="1"/>
      </w:pPr>
      <w:r>
        <w:t>L’étude comprend trois parties :</w:t>
      </w:r>
    </w:p>
    <w:p w:rsidR="001F4182" w:rsidRDefault="001F4182" w:rsidP="001F4182">
      <w:pPr>
        <w:pStyle w:val="m2407173234879297179msolistparagraph"/>
        <w:numPr>
          <w:ilvl w:val="0"/>
          <w:numId w:val="1"/>
        </w:numPr>
      </w:pPr>
      <w:r>
        <w:t>Semeuse lignée (page 1 à 6)</w:t>
      </w:r>
    </w:p>
    <w:p w:rsidR="001F4182" w:rsidRDefault="001F4182" w:rsidP="001F4182">
      <w:pPr>
        <w:pStyle w:val="m2407173234879297179msolistparagraph"/>
        <w:numPr>
          <w:ilvl w:val="0"/>
          <w:numId w:val="1"/>
        </w:numPr>
      </w:pPr>
      <w:r>
        <w:t>Semeuse fond plein avec sol (page 7)</w:t>
      </w:r>
    </w:p>
    <w:p w:rsidR="001F4182" w:rsidRDefault="001F4182" w:rsidP="001F4182">
      <w:pPr>
        <w:pStyle w:val="m2407173234879297179msolistparagraph"/>
        <w:numPr>
          <w:ilvl w:val="0"/>
          <w:numId w:val="1"/>
        </w:numPr>
      </w:pPr>
      <w:r>
        <w:t>Semeuse fond plein (donc sans sol) (pages 8 à 16)</w:t>
      </w:r>
    </w:p>
    <w:p w:rsidR="001F4182" w:rsidRDefault="001F4182" w:rsidP="001F4182">
      <w:pPr>
        <w:spacing w:before="100" w:beforeAutospacing="1" w:after="100" w:afterAutospacing="1"/>
      </w:pPr>
      <w:r>
        <w:t> L’étude comprend 7 colonnes :</w:t>
      </w:r>
    </w:p>
    <w:p w:rsidR="001F4182" w:rsidRDefault="001F4182" w:rsidP="001F4182">
      <w:pPr>
        <w:pStyle w:val="m2407173234879297179msolistparagraph"/>
        <w:numPr>
          <w:ilvl w:val="0"/>
          <w:numId w:val="2"/>
        </w:numPr>
      </w:pPr>
      <w:r>
        <w:t>Sc = Numéros de Scott</w:t>
      </w:r>
    </w:p>
    <w:p w:rsidR="001F4182" w:rsidRDefault="001F4182" w:rsidP="001F4182">
      <w:pPr>
        <w:pStyle w:val="m2407173234879297179msolistparagraph"/>
        <w:numPr>
          <w:ilvl w:val="0"/>
          <w:numId w:val="2"/>
        </w:numPr>
      </w:pPr>
      <w:r>
        <w:t xml:space="preserve">YT = Numéros de </w:t>
      </w:r>
      <w:proofErr w:type="spellStart"/>
      <w:r>
        <w:t>Yvert</w:t>
      </w:r>
      <w:proofErr w:type="spellEnd"/>
      <w:r>
        <w:t xml:space="preserve"> &amp; Tellier</w:t>
      </w:r>
    </w:p>
    <w:p w:rsidR="001F4182" w:rsidRDefault="001F4182" w:rsidP="001F4182">
      <w:pPr>
        <w:pStyle w:val="m2407173234879297179msolistparagraph"/>
        <w:numPr>
          <w:ilvl w:val="0"/>
          <w:numId w:val="2"/>
        </w:numPr>
      </w:pPr>
      <w:r>
        <w:t xml:space="preserve">Types = Tirés du catalogue </w:t>
      </w:r>
      <w:proofErr w:type="spellStart"/>
      <w:r>
        <w:t>Yvert</w:t>
      </w:r>
      <w:proofErr w:type="spellEnd"/>
      <w:r>
        <w:t xml:space="preserve"> &amp; Tellier</w:t>
      </w:r>
    </w:p>
    <w:p w:rsidR="001F4182" w:rsidRDefault="001F4182" w:rsidP="001F4182">
      <w:pPr>
        <w:pStyle w:val="m2407173234879297179msolistparagraph"/>
        <w:numPr>
          <w:ilvl w:val="0"/>
          <w:numId w:val="2"/>
        </w:numPr>
      </w:pPr>
      <w:r>
        <w:t xml:space="preserve">Couleur = Tirés du catalogue </w:t>
      </w:r>
      <w:proofErr w:type="spellStart"/>
      <w:r>
        <w:t>Yvert</w:t>
      </w:r>
      <w:proofErr w:type="spellEnd"/>
      <w:r>
        <w:t xml:space="preserve"> &amp; Tellier</w:t>
      </w:r>
    </w:p>
    <w:p w:rsidR="001F4182" w:rsidRDefault="001F4182" w:rsidP="001F4182">
      <w:pPr>
        <w:pStyle w:val="m2407173234879297179msolistparagraph"/>
        <w:numPr>
          <w:ilvl w:val="0"/>
          <w:numId w:val="2"/>
        </w:numPr>
      </w:pPr>
      <w:r>
        <w:t>Description. (Est expliqué plus loin)</w:t>
      </w:r>
    </w:p>
    <w:p w:rsidR="001F4182" w:rsidRDefault="001F4182" w:rsidP="001F4182">
      <w:pPr>
        <w:pStyle w:val="m2407173234879297179msolistparagraph"/>
        <w:numPr>
          <w:ilvl w:val="0"/>
          <w:numId w:val="2"/>
        </w:numPr>
      </w:pPr>
      <w:r>
        <w:t xml:space="preserve">YT </w:t>
      </w:r>
      <w:proofErr w:type="gramStart"/>
      <w:r>
        <w:t>=  Cote</w:t>
      </w:r>
      <w:proofErr w:type="gramEnd"/>
      <w:r>
        <w:t xml:space="preserve"> du catalogue </w:t>
      </w:r>
      <w:proofErr w:type="spellStart"/>
      <w:r>
        <w:t>Yvert</w:t>
      </w:r>
      <w:proofErr w:type="spellEnd"/>
      <w:r>
        <w:t xml:space="preserve"> &amp; Tellier de 2015</w:t>
      </w:r>
    </w:p>
    <w:p w:rsidR="001F4182" w:rsidRDefault="001F4182" w:rsidP="001F4182">
      <w:pPr>
        <w:pStyle w:val="m2407173234879297179msolistparagraph"/>
        <w:numPr>
          <w:ilvl w:val="0"/>
          <w:numId w:val="2"/>
        </w:numPr>
      </w:pPr>
      <w:r>
        <w:t>Scott = Cote de Scott 1919</w:t>
      </w:r>
    </w:p>
    <w:p w:rsidR="001F4182" w:rsidRDefault="001F4182" w:rsidP="001F4182">
      <w:pPr>
        <w:spacing w:before="100" w:beforeAutospacing="1" w:after="100" w:afterAutospacing="1"/>
      </w:pPr>
      <w:r>
        <w:t>Méthodologie :</w:t>
      </w:r>
    </w:p>
    <w:p w:rsidR="001F4182" w:rsidRDefault="001F4182" w:rsidP="001F4182">
      <w:pPr>
        <w:pStyle w:val="m2407173234879297179msolistparagraph"/>
        <w:numPr>
          <w:ilvl w:val="0"/>
          <w:numId w:val="3"/>
        </w:numPr>
      </w:pPr>
      <w:r>
        <w:t xml:space="preserve">Les descriptions en français sont tirées du catalogue </w:t>
      </w:r>
      <w:proofErr w:type="spellStart"/>
      <w:r>
        <w:t>Yvert</w:t>
      </w:r>
      <w:proofErr w:type="spellEnd"/>
      <w:r>
        <w:t xml:space="preserve"> &amp; Tellier, quelque peu modifiées pour en faciliter la compréhension.</w:t>
      </w:r>
    </w:p>
    <w:p w:rsidR="001F4182" w:rsidRDefault="001F4182" w:rsidP="001F4182">
      <w:pPr>
        <w:pStyle w:val="m2407173234879297179msolistparagraph"/>
        <w:numPr>
          <w:ilvl w:val="0"/>
          <w:numId w:val="3"/>
        </w:numPr>
      </w:pPr>
      <w:r>
        <w:t xml:space="preserve">Les descriptions en anglais sont tirées de </w:t>
      </w:r>
      <w:proofErr w:type="spellStart"/>
      <w:r>
        <w:t>Colnect</w:t>
      </w:r>
      <w:proofErr w:type="spellEnd"/>
      <w:r>
        <w:t>. Souvent la description commence en français et se termine en anglais.</w:t>
      </w:r>
    </w:p>
    <w:p w:rsidR="001F4182" w:rsidRDefault="001F4182" w:rsidP="001F4182">
      <w:pPr>
        <w:pStyle w:val="m2407173234879297179msolistparagraph"/>
        <w:numPr>
          <w:ilvl w:val="0"/>
          <w:numId w:val="3"/>
        </w:numPr>
      </w:pPr>
      <w:r>
        <w:t xml:space="preserve">Les lettres au début des description sont celle de </w:t>
      </w:r>
      <w:proofErr w:type="spellStart"/>
      <w:r>
        <w:t>Colnect</w:t>
      </w:r>
      <w:proofErr w:type="spellEnd"/>
    </w:p>
    <w:p w:rsidR="001F4182" w:rsidRDefault="001F4182" w:rsidP="001F4182">
      <w:pPr>
        <w:pStyle w:val="m2407173234879297179msolistparagraph"/>
        <w:numPr>
          <w:ilvl w:val="0"/>
          <w:numId w:val="3"/>
        </w:numPr>
      </w:pPr>
      <w:r>
        <w:t>Les descriptions d’</w:t>
      </w:r>
      <w:proofErr w:type="spellStart"/>
      <w:r>
        <w:t>Yvert</w:t>
      </w:r>
      <w:proofErr w:type="spellEnd"/>
      <w:r>
        <w:t xml:space="preserve"> &amp; Tellier sont présentées en premier.</w:t>
      </w:r>
    </w:p>
    <w:p w:rsidR="001F4182" w:rsidRDefault="001F4182" w:rsidP="001F4182">
      <w:pPr>
        <w:pStyle w:val="m2407173234879297179msolistparagraph"/>
        <w:numPr>
          <w:ilvl w:val="0"/>
          <w:numId w:val="3"/>
        </w:numPr>
      </w:pPr>
      <w:r>
        <w:t>Les particularités importantes sont soulignées</w:t>
      </w:r>
    </w:p>
    <w:p w:rsidR="001F4182" w:rsidRDefault="001F4182" w:rsidP="001F4182">
      <w:pPr>
        <w:pStyle w:val="m2407173234879297179msolistparagraph"/>
        <w:numPr>
          <w:ilvl w:val="0"/>
          <w:numId w:val="3"/>
        </w:numPr>
      </w:pPr>
      <w:r>
        <w:t>Les particularités très importantes sont soulignées et en caractères gras</w:t>
      </w:r>
    </w:p>
    <w:p w:rsidR="001F4182" w:rsidRDefault="001F4182" w:rsidP="001F4182">
      <w:pPr>
        <w:spacing w:before="100" w:beforeAutospacing="1" w:after="100" w:afterAutospacing="1"/>
      </w:pPr>
      <w:r>
        <w:t>Regroupement des Types :</w:t>
      </w:r>
    </w:p>
    <w:p w:rsidR="001F4182" w:rsidRDefault="001F4182" w:rsidP="001F4182">
      <w:pPr>
        <w:pStyle w:val="m2407173234879297179msolistparagraph"/>
        <w:numPr>
          <w:ilvl w:val="0"/>
          <w:numId w:val="4"/>
        </w:numPr>
      </w:pPr>
      <w:r>
        <w:t> Lorsqu’un type serte à décrire plusieurs timbres différents, ils sont présentés avant les variétés. Par exemple, à la page 1 le Type III (138 de Scott) sert à présenter les numéros 129b et 129c. Nous procédons ainsi pour éviter les répétitions du descriptif.</w:t>
      </w:r>
    </w:p>
    <w:p w:rsidR="001F4182" w:rsidRDefault="001F4182" w:rsidP="001F4182">
      <w:pPr>
        <w:pStyle w:val="m2407173234879297179msolistparagraph"/>
        <w:numPr>
          <w:ilvl w:val="0"/>
          <w:numId w:val="4"/>
        </w:numPr>
      </w:pPr>
      <w:r>
        <w:t>Le timbres Préoblitérés sont regroupés avec le même type. Ainsi à la page 10 Les particularités des timbres Pr51 et Pr51a sont présentées à la suite du type III (163 de Scott et 159 d’</w:t>
      </w:r>
      <w:proofErr w:type="spellStart"/>
      <w:r>
        <w:t>Yvert</w:t>
      </w:r>
      <w:proofErr w:type="spellEnd"/>
      <w:r>
        <w:t xml:space="preserve"> &amp; Tellier). </w:t>
      </w:r>
    </w:p>
    <w:p w:rsidR="001F4182" w:rsidRDefault="001F4182" w:rsidP="001F4182">
      <w:pPr>
        <w:spacing w:before="100" w:beforeAutospacing="1" w:after="100" w:afterAutospacing="1"/>
        <w:ind w:left="360"/>
      </w:pPr>
      <w:r>
        <w:t> </w:t>
      </w:r>
    </w:p>
    <w:p w:rsidR="00AB3C64" w:rsidRPr="001F4182" w:rsidRDefault="00AB3C64" w:rsidP="001F4182"/>
    <w:sectPr w:rsidR="00AB3C64" w:rsidRPr="001F41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38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645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527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922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82"/>
    <w:rsid w:val="001F4182"/>
    <w:rsid w:val="00A14DE3"/>
    <w:rsid w:val="00A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46640-F294-4B7F-A43A-2A591AE3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82"/>
    <w:pPr>
      <w:spacing w:after="0" w:line="240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2407173234879297179msolistparagraph">
    <w:name w:val="m_2407173234879297179msolistparagraph"/>
    <w:basedOn w:val="Normal"/>
    <w:rsid w:val="001F418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Michel Goupil</cp:lastModifiedBy>
  <cp:revision>2</cp:revision>
  <dcterms:created xsi:type="dcterms:W3CDTF">2020-01-21T01:52:00Z</dcterms:created>
  <dcterms:modified xsi:type="dcterms:W3CDTF">2020-01-21T01:52:00Z</dcterms:modified>
</cp:coreProperties>
</file>